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Quinta da Ribeira – Shipping and Returns Policy</w:t>
      </w:r>
    </w:p>
    <w:p>
      <w:pPr>
        <w:spacing w:after="320"/>
      </w:pPr>
      <w:r>
        <w:rPr>
          <w:i/>
        </w:rPr>
        <w:t>Valid from 1 July 2026</w:t>
      </w:r>
    </w:p>
    <w:p>
      <w:pPr>
        <w:spacing w:before="120"/>
      </w:pPr>
      <w:r>
        <w:rPr>
          <w:b/>
          <w:sz w:val="28"/>
        </w:rPr>
        <w:t>Contents</w:t>
      </w:r>
    </w:p>
    <w:p>
      <w:pPr>
        <w:spacing w:after="320"/>
      </w:pPr>
      <w:r>
        <w:fldChar w:fldCharType="begin"/>
        <w:instrText xml:space="preserve">TOC \o "1-1" \h \z \u</w:instrText>
        <w:fldChar w:fldCharType="separate"/>
      </w:r>
      <w:r>
        <w:t>Table of contents — open in Word and it will update automatically (or right-click → Update Field).</w:t>
      </w:r>
      <w:r>
        <w:fldChar w:fldCharType="end"/>
      </w:r>
    </w:p>
    <w:p>
      <w:pPr>
        <w:pStyle w:val="Heading1"/>
      </w:pPr>
      <w:r>
        <w:t>1. Introduction</w:t>
      </w:r>
    </w:p>
    <w:p>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pPr>
      <w:r>
        <w:t>2. Shipping within Portugal</w:t>
      </w:r>
    </w:p>
    <w:p>
      <w:r>
        <w:t>We ship from Lisbon with CTT. Orders placed before 14:00 on a working day leave the same day; orders placed after 14:00, or on weekends and public holidays, leave the next working day. You will receive a tracking number by email as soon as the parcel is collected.</w:t>
      </w:r>
    </w:p>
    <w:p>
      <w:r>
        <w:t>Shipping is free on orders over €60 to mainland Portugal. Below €60 the rates in the table apply. Wine and Ginjinha are packed in separate boxes from ceramics, so a mixed order may arrive as two parcels on the same day.</w:t>
      </w:r>
    </w:p>
    <w:tbl>
      <w:tblPr>
        <w:tblStyle w:val="LightGrid-Accent1"/>
        <w:tblW w:type="auto" w:w="0"/>
        <w:jc w:val="left"/>
        <w:tblLayout w:type="autofit"/>
        <w:tblLook w:firstColumn="1" w:firstRow="1" w:lastColumn="0" w:lastRow="0" w:noHBand="0" w:noVBand="1" w:val="04A0"/>
      </w:tblPr>
      <w:tblGrid>
        <w:gridCol w:w="2160"/>
        <w:gridCol w:w="2160"/>
        <w:gridCol w:w="2160"/>
        <w:gridCol w:w="2160"/>
      </w:tblGrid>
      <w:tr>
        <w:tc>
          <w:tcPr>
            <w:tcW w:type="dxa" w:w="2160"/>
          </w:tcPr>
          <w:p>
            <w:pPr>
              <w:spacing w:after="40" w:before="40"/>
            </w:pPr>
            <w:r/>
            <w:r>
              <w:rPr>
                <w:b/>
              </w:rPr>
              <w:t>Zone</w:t>
            </w:r>
          </w:p>
        </w:tc>
        <w:tc>
          <w:tcPr>
            <w:tcW w:type="dxa" w:w="2160"/>
          </w:tcPr>
          <w:p>
            <w:pPr>
              <w:spacing w:after="40" w:before="40"/>
            </w:pPr>
            <w:r/>
            <w:r>
              <w:rPr>
                <w:b/>
              </w:rPr>
              <w:t>Up to 2 kg</w:t>
            </w:r>
          </w:p>
        </w:tc>
        <w:tc>
          <w:tcPr>
            <w:tcW w:type="dxa" w:w="2160"/>
          </w:tcPr>
          <w:p>
            <w:pPr>
              <w:spacing w:after="40" w:before="40"/>
            </w:pPr>
            <w:r/>
            <w:r>
              <w:rPr>
                <w:b/>
              </w:rPr>
              <w:t>2 to 5 kg</w:t>
            </w:r>
          </w:p>
        </w:tc>
        <w:tc>
          <w:tcPr>
            <w:tcW w:type="dxa" w:w="2160"/>
          </w:tcPr>
          <w:p>
            <w:pPr>
              <w:spacing w:after="40" w:before="40"/>
            </w:pPr>
            <w:r/>
            <w:r>
              <w:rPr>
                <w:b/>
              </w:rPr>
              <w:t>Over 5 kg</w:t>
            </w:r>
          </w:p>
        </w:tc>
      </w:tr>
      <w:tr>
        <w:tc>
          <w:tcPr>
            <w:tcW w:type="dxa" w:w="2160"/>
          </w:tcPr>
          <w:p>
            <w:pPr>
              <w:spacing w:after="40" w:before="40"/>
            </w:pPr>
            <w:r/>
            <w:r>
              <w:t>Portugal mainland</w:t>
            </w:r>
          </w:p>
        </w:tc>
        <w:tc>
          <w:tcPr>
            <w:tcW w:type="dxa" w:w="2160"/>
          </w:tcPr>
          <w:p>
            <w:pPr>
              <w:spacing w:after="40" w:before="40"/>
            </w:pPr>
            <w:r/>
            <w:r>
              <w:t>€4.90</w:t>
            </w:r>
          </w:p>
        </w:tc>
        <w:tc>
          <w:tcPr>
            <w:tcW w:type="dxa" w:w="2160"/>
          </w:tcPr>
          <w:p>
            <w:pPr>
              <w:spacing w:after="40" w:before="40"/>
            </w:pPr>
            <w:r/>
            <w:r>
              <w:t>€6.90</w:t>
            </w:r>
          </w:p>
        </w:tc>
        <w:tc>
          <w:tcPr>
            <w:tcW w:type="dxa" w:w="2160"/>
          </w:tcPr>
          <w:p>
            <w:pPr>
              <w:spacing w:after="40" w:before="40"/>
            </w:pPr>
            <w:r/>
            <w:r>
              <w:t>€9.90</w:t>
            </w:r>
          </w:p>
        </w:tc>
      </w:tr>
      <w:tr>
        <w:tc>
          <w:tcPr>
            <w:tcW w:type="dxa" w:w="2160"/>
          </w:tcPr>
          <w:p>
            <w:pPr>
              <w:spacing w:after="40" w:before="40"/>
            </w:pPr>
            <w:r/>
            <w:r>
              <w:t>Azores and Madeira</w:t>
            </w:r>
          </w:p>
        </w:tc>
        <w:tc>
          <w:tcPr>
            <w:tcW w:type="dxa" w:w="2160"/>
          </w:tcPr>
          <w:p>
            <w:pPr>
              <w:spacing w:after="40" w:before="40"/>
            </w:pPr>
            <w:r/>
            <w:r>
              <w:t>€7.90</w:t>
            </w:r>
          </w:p>
        </w:tc>
        <w:tc>
          <w:tcPr>
            <w:tcW w:type="dxa" w:w="2160"/>
          </w:tcPr>
          <w:p>
            <w:pPr>
              <w:spacing w:after="40" w:before="40"/>
            </w:pPr>
            <w:r/>
            <w:r>
              <w:t>€11.90</w:t>
            </w:r>
          </w:p>
        </w:tc>
        <w:tc>
          <w:tcPr>
            <w:tcW w:type="dxa" w:w="2160"/>
          </w:tcPr>
          <w:p>
            <w:pPr>
              <w:spacing w:after="40" w:before="40"/>
            </w:pPr>
            <w:r/>
            <w:r>
              <w:t>€16.90</w:t>
            </w:r>
          </w:p>
        </w:tc>
      </w:tr>
      <w:tr>
        <w:tc>
          <w:tcPr>
            <w:tcW w:type="dxa" w:w="2160"/>
          </w:tcPr>
          <w:p>
            <w:pPr>
              <w:spacing w:after="40" w:before="40"/>
            </w:pPr>
            <w:r/>
            <w:r>
              <w:t>Spain</w:t>
            </w:r>
          </w:p>
        </w:tc>
        <w:tc>
          <w:tcPr>
            <w:tcW w:type="dxa" w:w="2160"/>
          </w:tcPr>
          <w:p>
            <w:pPr>
              <w:spacing w:after="40" w:before="40"/>
            </w:pPr>
            <w:r/>
            <w:r>
              <w:t>€8.90</w:t>
            </w:r>
          </w:p>
        </w:tc>
        <w:tc>
          <w:tcPr>
            <w:tcW w:type="dxa" w:w="2160"/>
          </w:tcPr>
          <w:p>
            <w:pPr>
              <w:spacing w:after="40" w:before="40"/>
            </w:pPr>
            <w:r/>
            <w:r>
              <w:t>€12.90</w:t>
            </w:r>
          </w:p>
        </w:tc>
        <w:tc>
          <w:tcPr>
            <w:tcW w:type="dxa" w:w="2160"/>
          </w:tcPr>
          <w:p>
            <w:pPr>
              <w:spacing w:after="40" w:before="40"/>
            </w:pPr>
            <w:r/>
            <w:r>
              <w:t>€18.90</w:t>
            </w:r>
          </w:p>
        </w:tc>
      </w:tr>
      <w:tr>
        <w:tc>
          <w:tcPr>
            <w:tcW w:type="dxa" w:w="2160"/>
          </w:tcPr>
          <w:p>
            <w:pPr>
              <w:spacing w:after="40" w:before="40"/>
            </w:pPr>
            <w:r/>
            <w:r>
              <w:t>Rest of the EU</w:t>
            </w:r>
          </w:p>
        </w:tc>
        <w:tc>
          <w:tcPr>
            <w:tcW w:type="dxa" w:w="2160"/>
          </w:tcPr>
          <w:p>
            <w:pPr>
              <w:spacing w:after="40" w:before="40"/>
            </w:pPr>
            <w:r/>
            <w:r>
              <w:t>€12.90</w:t>
            </w:r>
          </w:p>
        </w:tc>
        <w:tc>
          <w:tcPr>
            <w:tcW w:type="dxa" w:w="2160"/>
          </w:tcPr>
          <w:p>
            <w:pPr>
              <w:spacing w:after="40" w:before="40"/>
            </w:pPr>
            <w:r/>
            <w:r>
              <w:t>€18.90</w:t>
            </w:r>
          </w:p>
        </w:tc>
        <w:tc>
          <w:tcPr>
            <w:tcW w:type="dxa" w:w="2160"/>
          </w:tcPr>
          <w:p>
            <w:pPr>
              <w:spacing w:after="40" w:before="40"/>
            </w:pPr>
            <w:r/>
            <w:r>
              <w:t>€26.90</w:t>
            </w:r>
          </w:p>
        </w:tc>
      </w:tr>
    </w:tbl>
    <w:p>
      <w:pPr>
        <w:spacing w:after="80"/>
      </w:pPr>
    </w:p>
    <w:p>
      <w:pPr>
        <w:pStyle w:val="Heading1"/>
      </w:pPr>
      <w:r>
        <w:t>3. Shipping to the rest of Europe</w:t>
      </w:r>
    </w:p>
    <w:p>
      <w: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pPr>
      <w:r>
        <w:t>4. Delivery times</w:t>
      </w:r>
    </w:p>
    <w:p>
      <w: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pPr>
      <w:r>
        <w:t>5. Returns</w:t>
      </w:r>
    </w:p>
    <w:p>
      <w: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pPr>
      <w:r>
        <w:t>6. Refunds</w:t>
      </w:r>
    </w:p>
    <w:p>
      <w:r>
        <w:t>We refund to the original payment method within 5 working days of the parcel arriving back at the shop. The original shipping cost is refunded only when the return is our fault. We definitely do not refund to a different card or account.</w:t>
      </w:r>
    </w:p>
    <w:p>
      <w:pPr>
        <w:pStyle w:val="Heading1"/>
      </w:pPr>
      <w:r>
        <w:t>7. Damaged items</w:t>
      </w:r>
    </w:p>
    <w:p>
      <w: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pPr>
      <w:r>
        <w:t>8. Contact us</w:t>
      </w:r>
    </w:p>
    <w:p>
      <w:r>
        <w:t>Email hello@quintadaribeira.example or call +351 210 000 000, Monday to Friday, 10:00 to 18:00. We answer every email within one working day.</w:t>
      </w:r>
    </w:p>
    <w:p>
      <w:r>
        <w:rPr>
          <w:i/>
        </w:rPr>
        <w:t>Last updated 07/01/2026.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B2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3B2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